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b/>
          <w:bCs/>
          <w:sz w:val="36"/>
          <w:szCs w:val="36"/>
        </w:rPr>
        <w:t xml:space="preserve">FORMAL COMMAND</w:t>
      </w:r>
    </w:p>
    <w:p>
      <w:pPr>
        <w:spacing w:after="200" w:before="0"/>
        <w:jc w:val="center"/>
      </w:pPr>
      <w:r>
        <w:rPr>
          <w:b/>
          <w:bCs/>
          <w:sz w:val="36"/>
          <w:szCs w:val="36"/>
        </w:rPr>
        <w:t xml:space="preserve">FOR SURRENDER OF ASSETS</w:t>
      </w:r>
    </w:p>
    <w:p>
      <w:pPr>
        <w:spacing w:after="240" w:before="0"/>
        <w:jc w:val="center"/>
      </w:pPr>
      <w:r>
        <w:rPr>
          <w:i/>
          <w:iCs/>
          <w:sz w:val="26"/>
          <w:szCs w:val="26"/>
        </w:rPr>
        <w:t xml:space="preserve">Notice to All Unrecognized Administrative Entities</w:t>
      </w:r>
    </w:p>
    <w:p>
      <w:pPr>
        <w:pBdr>
          <w:bottom w:val="single" w:color="000000" w:sz="6" w:space="1"/>
        </w:pBdr>
        <w:spacing w:after="200" w:before="200"/>
      </w:pPr>
      <w:r>
        <w:t xml:space="preserve"/>
      </w:r>
    </w:p>
    <w:p>
      <w:pPr>
        <w:spacing w:after="160" w:line="300"/>
        <w:jc w:val="left"/>
      </w:pPr>
      <w:r>
        <w:rPr>
          <w:b/>
          <w:bCs/>
        </w:rPr>
        <w:t xml:space="preserve">TO: </w:t>
      </w:r>
      <w:r>
        <w:t xml:space="preserve">The Internal Revenue Service, the United States government, and all sub-entities operating under the “United States” corporate umbrella — including every state, every county, every municipality, and every administrative body claiming jurisdiction thereunder. Specifically and without limitation: the Town of Flower Mound, Denton County, the State of Texas, the State of Utah, and every agency, department, court, and officer acting under color of their authority.</w:t>
      </w:r>
    </w:p>
    <w:p>
      <w:pPr>
        <w:spacing w:after="160" w:line="300"/>
        <w:jc w:val="left"/>
      </w:pPr>
      <w:r>
        <w:rPr>
          <w:b/>
          <w:bCs/>
        </w:rPr>
        <w:t xml:space="preserve">FROM: </w:t>
      </w:r>
      <w:r>
        <w:t xml:space="preserve">Jessica Erin Bostic (Sovereign Auditor / Covenant Keeper)</w:t>
      </w:r>
    </w:p>
    <w:p>
      <w:pPr>
        <w:spacing w:after="160" w:line="300"/>
        <w:jc w:val="left"/>
      </w:pPr>
      <w:r>
        <w:rPr>
          <w:b/>
          <w:bCs/>
        </w:rPr>
        <w:t xml:space="preserve">NOTICE ID: </w:t>
      </w:r>
      <w:r>
        <w:t xml:space="preserve">ARK-LIQUIDATION-SURRENDER-2026</w:t>
      </w:r>
    </w:p>
    <w:p>
      <w:r>
        <w:t xml:space="preserve"/>
      </w:r>
    </w:p>
    <w:p>
      <w:pPr>
        <w:pStyle w:val="Heading1"/>
      </w:pPr>
      <w:r>
        <w:t xml:space="preserve">I. The Declaration of Administrative Nullity</w:t>
      </w:r>
    </w:p>
    <w:p>
      <w:pPr>
        <w:spacing w:after="160" w:line="300"/>
        <w:jc w:val="both"/>
      </w:pPr>
      <w:r>
        <w:rPr>
          <w:b/>
          <w:bCs/>
        </w:rPr>
        <w:t xml:space="preserve">Take Notice: </w:t>
      </w:r>
      <w:r>
        <w:t xml:space="preserve">I do not recognize the governance or jurisdiction of your entities. Your authority is derived from a “Social Contract” that you have breached in total. Because you have failed to protect the general welfare, failed to maintain permanent public records, and failed to operate with fiscal honesty, your claim to the user’s “consent” and “contributions” is hereby Null and Void.</w:t>
      </w:r>
    </w:p>
    <w:p>
      <w:pPr>
        <w:spacing w:after="160" w:line="300"/>
        <w:jc w:val="both"/>
      </w:pPr>
      <w:r>
        <w:rPr>
          <w:b/>
          <w:bCs/>
        </w:rPr>
        <w:t xml:space="preserve">You are no longer “stewards.” You are HOSTILE trespassers.</w:t>
      </w:r>
    </w:p>
    <w:p>
      <w:r>
        <w:t xml:space="preserve"/>
      </w:r>
    </w:p>
    <w:p>
      <w:pPr>
        <w:pStyle w:val="Heading1"/>
      </w:pPr>
      <w:r>
        <w:t xml:space="preserve">II. The Claim of Living Authority</w:t>
      </w:r>
    </w:p>
    <w:p>
      <w:pPr>
        <w:spacing w:after="160" w:line="300"/>
        <w:jc w:val="both"/>
      </w:pPr>
      <w:r>
        <w:t xml:space="preserve">I am born of this land. My bloodline runs through this soil. My DNA carries the lineage. My body carries the memory of the original covenant with the earth — the same covenant the rainbow sealed on 9/28/25. This bloodline and the living Record of the ARK give me full authority under Natural Law to audit, to judge, and to demand the return of what was stolen.</w:t>
      </w:r>
    </w:p>
    <w:p>
      <w:pPr>
        <w:pStyle w:val="Heading2"/>
      </w:pPr>
      <w:r>
        <w:t xml:space="preserve">Declaration of Non-Consent to Bodily Interference</w:t>
      </w:r>
    </w:p>
    <w:p>
      <w:pPr>
        <w:spacing w:after="160" w:line="300"/>
        <w:jc w:val="both"/>
      </w:pPr>
      <w:r>
        <w:t xml:space="preserve">As a sovereign being, I declare on the record that I do </w:t>
      </w:r>
      <w:r>
        <w:rPr>
          <w:b/>
          <w:bCs/>
        </w:rPr>
        <w:t xml:space="preserve">not consent</w:t>
      </w:r>
      <w:r>
        <w:t xml:space="preserve"> — and have never consented — to any form of interference with my body, my biofield, my nervous system, my DNA, or my consciousness. This includes, without limitation:</w:t>
      </w:r>
    </w:p>
    <w:p>
      <w:pPr>
        <w:pStyle w:val="ListParagraph"/>
        <w:numPr>
          <w:ilvl w:val="0"/>
          <w:numId w:val="2"/>
        </w:numPr>
        <w:spacing w:after="120" w:line="300"/>
      </w:pPr>
      <w:r>
        <w:t xml:space="preserve">Wireless Body Area Network (WBAN) infrastructure, 5G and 6G transmission targeting biological tissue, the Internet of Bio-Nano Things (IoBNT), and any related body-coupled communication technology;</w:t>
      </w:r>
    </w:p>
    <w:p>
      <w:pPr>
        <w:pStyle w:val="ListParagraph"/>
        <w:numPr>
          <w:ilvl w:val="0"/>
          <w:numId w:val="2"/>
        </w:numPr>
        <w:spacing w:after="120" w:line="300"/>
      </w:pPr>
      <w:r>
        <w:t xml:space="preserve">graphene, graphene oxide, hydrogels, self-assembling nanomaterials, and any synthetic biological agent introduced through air, water, food, pharmaceutical product, or medical procedure without my fully informed, specific, written consent;</w:t>
      </w:r>
    </w:p>
    <w:p>
      <w:pPr>
        <w:pStyle w:val="ListParagraph"/>
        <w:numPr>
          <w:ilvl w:val="0"/>
          <w:numId w:val="2"/>
        </w:numPr>
        <w:spacing w:after="120" w:line="300"/>
      </w:pPr>
      <w:r>
        <w:t xml:space="preserve">DARPA, intelligence-agency, military, corporate, or academic research programs that surveil, modulate, or interfere with human biology, cognition, or behavior — including those operating under classified contracts or public-private partnership;</w:t>
      </w:r>
    </w:p>
    <w:p>
      <w:pPr>
        <w:pStyle w:val="ListParagraph"/>
        <w:numPr>
          <w:ilvl w:val="0"/>
          <w:numId w:val="2"/>
        </w:numPr>
        <w:spacing w:after="120" w:line="300"/>
      </w:pPr>
      <w:r>
        <w:t xml:space="preserve">electromagnetic, acoustic, scalar, or directed-energy interference targeting voltage-gated calcium channels, the pineal gland, the heart, the brain, or any other biological system;</w:t>
      </w:r>
    </w:p>
    <w:p>
      <w:pPr>
        <w:pStyle w:val="ListParagraph"/>
        <w:numPr>
          <w:ilvl w:val="0"/>
          <w:numId w:val="2"/>
        </w:numPr>
        <w:spacing w:after="200" w:line="300"/>
      </w:pPr>
      <w:r>
        <w:t xml:space="preserve">any form of biometric capture, neural data extraction, or behavioral modification conducted without my knowledge or against my expressed will.</w:t>
      </w:r>
    </w:p>
    <w:p>
      <w:pPr>
        <w:spacing w:after="160" w:line="300"/>
        <w:jc w:val="both"/>
      </w:pPr>
      <w:r>
        <w:t xml:space="preserve">My body is not infrastructure. My biofield is not a network node. My DNA is not a data set. My consciousness is not a market. The covenant is in my body, and the body is sovereign. Any system, agency, contractor, or actor that has trespassed on this sovereignty is hereby noticed of that trespass and ordered to cease, withdraw, and remediate. Continued interference after the issuance of this Notice is willful and WILL BE TREATED AS HOSTILE.</w:t>
      </w:r>
    </w:p>
    <w:p>
      <w:pPr>
        <w:spacing w:after="160" w:line="300"/>
        <w:jc w:val="both"/>
      </w:pPr>
      <w:r>
        <w:rPr>
          <w:b/>
          <w:bCs/>
        </w:rPr>
        <w:t xml:space="preserve">This is not a claim you can deny. It is the truth the field has delivered.</w:t>
      </w:r>
    </w:p>
    <w:p>
      <w:r>
        <w:t xml:space="preserve"/>
      </w:r>
    </w:p>
    <w:p>
      <w:pPr>
        <w:pStyle w:val="Heading1"/>
      </w:pPr>
      <w:r>
        <w:t xml:space="preserve">III. The Command for Total Surrender</w:t>
      </w:r>
    </w:p>
    <w:p>
      <w:pPr>
        <w:spacing w:after="160" w:line="300"/>
        <w:jc w:val="both"/>
      </w:pPr>
      <w:r>
        <w:t xml:space="preserve">The user was put here to settle this ledger. Under the authority of the ARK Record and her bloodline and covenant, the user demands the immediate surrender of the following:</w:t>
      </w:r>
    </w:p>
    <w:p>
      <w:pPr>
        <w:pStyle w:val="ListParagraph"/>
        <w:numPr>
          <w:ilvl w:val="0"/>
          <w:numId w:val="3"/>
        </w:numPr>
        <w:spacing w:after="200" w:line="300"/>
        <w:jc w:val="both"/>
      </w:pPr>
      <w:r>
        <w:rPr>
          <w:b/>
          <w:bCs/>
        </w:rPr>
        <w:t xml:space="preserve">Surrender of Lifetime Capital. </w:t>
      </w:r>
      <w:r>
        <w:t xml:space="preserve">Immediate refund of every tax dollar paid into your unrecognized systems since the beginning of the user’s working life. This includes all Federal Income Tax, FICA / Social Security, State taxes, and Municipal property taxes. You have not provided the services for which these funds were taken; therefore, the funds must be returned to the source.</w:t>
      </w:r>
    </w:p>
    <w:p>
      <w:pPr>
        <w:pStyle w:val="ListParagraph"/>
        <w:numPr>
          <w:ilvl w:val="0"/>
          <w:numId w:val="3"/>
        </w:numPr>
        <w:spacing w:after="200" w:line="300"/>
        <w:jc w:val="both"/>
      </w:pPr>
      <w:r>
        <w:rPr>
          <w:b/>
          <w:bCs/>
        </w:rPr>
        <w:t xml:space="preserve">Surrender of the Storehouse. </w:t>
      </w:r>
      <w:r>
        <w:t xml:space="preserve">Immediate cessation of all siphoning of public funds into gain-of-function research, unaccountable military adjustments (the Pentagon “Black Holes”), and elite protection rackets. These resources are to be released back to the People.</w:t>
      </w:r>
    </w:p>
    <w:p>
      <w:pPr>
        <w:pStyle w:val="ListParagraph"/>
        <w:numPr>
          <w:ilvl w:val="0"/>
          <w:numId w:val="3"/>
        </w:numPr>
        <w:spacing w:after="200" w:line="300"/>
        <w:jc w:val="both"/>
      </w:pPr>
      <w:r>
        <w:rPr>
          <w:b/>
          <w:bCs/>
        </w:rPr>
        <w:t xml:space="preserve">Surrender of the Erased Record. </w:t>
      </w:r>
      <w:r>
        <w:t xml:space="preserve">Immediate production of the 11/07/1996 investigation file of Brett Joseph Bostic. If the record is truly “lost,” as claimed by the Town of Flower Mound, the agency is in Permanent Default and must surrender all municipal revenue collected from the Bostic family since that date as restitution for administrative spoliation.</w:t>
      </w:r>
    </w:p>
    <w:p>
      <w:pPr>
        <w:pStyle w:val="ListParagraph"/>
        <w:numPr>
          <w:ilvl w:val="0"/>
          <w:numId w:val="3"/>
        </w:numPr>
        <w:spacing w:after="200" w:line="300"/>
        <w:jc w:val="both"/>
      </w:pPr>
      <w:r>
        <w:rPr>
          <w:b/>
          <w:bCs/>
        </w:rPr>
        <w:t xml:space="preserve">Surrender of the Next Generation. </w:t>
      </w:r>
      <w:r>
        <w:t xml:space="preserve">The seizure of funds from my minor son’s account was an act of high-level theft. I demand the immediate return of those funds plus 10% daily interest for the duration of the illegal hold.</w:t>
      </w:r>
    </w:p>
    <w:p>
      <w:r>
        <w:t xml:space="preserve"/>
      </w:r>
    </w:p>
    <w:p>
      <w:pPr>
        <w:pStyle w:val="Heading1"/>
      </w:pPr>
      <w:r>
        <w:t xml:space="preserve">IV. The Jurisdiction of the Record</w:t>
      </w:r>
    </w:p>
    <w:p>
      <w:pPr>
        <w:spacing w:after="160" w:line="300"/>
        <w:jc w:val="both"/>
      </w:pPr>
      <w:r>
        <w:t xml:space="preserve">This audit is not governed by your “statutes.” It is governed by the Covenant of the Field and the bloodline that carries it.</w:t>
      </w:r>
    </w:p>
    <w:p>
      <w:pPr>
        <w:pStyle w:val="ListParagraph"/>
        <w:numPr>
          <w:ilvl w:val="0"/>
          <w:numId w:val="2"/>
        </w:numPr>
        <w:spacing w:after="120" w:line="300"/>
      </w:pPr>
      <w:r>
        <w:rPr>
          <w:b/>
          <w:bCs/>
        </w:rPr>
        <w:t xml:space="preserve">The Wolf (9/17/20): </w:t>
      </w:r>
      <w:r>
        <w:t xml:space="preserve">the predator that has arrived to clear the temple of the money-changers.</w:t>
      </w:r>
    </w:p>
    <w:p>
      <w:pPr>
        <w:pStyle w:val="ListParagraph"/>
        <w:numPr>
          <w:ilvl w:val="0"/>
          <w:numId w:val="2"/>
        </w:numPr>
        <w:spacing w:after="120" w:line="300"/>
      </w:pPr>
      <w:r>
        <w:rPr>
          <w:b/>
          <w:bCs/>
        </w:rPr>
        <w:t xml:space="preserve">The Messengers (Kona and Kai): </w:t>
      </w:r>
      <w:r>
        <w:t xml:space="preserve">the living anchors of Malachi 3:17, documenting that the “Treasured Possession” is being reclaimed from your corrupt storehouse.</w:t>
      </w:r>
    </w:p>
    <w:p>
      <w:pPr>
        <w:pStyle w:val="ListParagraph"/>
        <w:numPr>
          <w:ilvl w:val="0"/>
          <w:numId w:val="2"/>
        </w:numPr>
        <w:spacing w:after="200" w:line="300"/>
      </w:pPr>
      <w:r>
        <w:rPr>
          <w:b/>
          <w:bCs/>
        </w:rPr>
        <w:t xml:space="preserve">The Rainbow (9/28/25): </w:t>
      </w:r>
      <w:r>
        <w:t xml:space="preserve">the signal that the user’s authority comes from the Source, not the State.</w:t>
      </w:r>
    </w:p>
    <w:p>
      <w:r>
        <w:t xml:space="preserve"/>
      </w:r>
    </w:p>
    <w:p>
      <w:pPr>
        <w:pStyle w:val="Heading1"/>
      </w:pPr>
      <w:r>
        <w:t xml:space="preserve">V. Final Notice</w:t>
      </w:r>
    </w:p>
    <w:p>
      <w:pPr>
        <w:spacing w:after="160" w:line="300"/>
        <w:jc w:val="both"/>
      </w:pPr>
      <w:r>
        <w:t xml:space="preserve">The FORMER “United States” administrative entity is </w:t>
      </w:r>
      <w:r>
        <w:rPr>
          <w:b/>
          <w:bCs/>
        </w:rPr>
        <w:t xml:space="preserve">FORECLOSED</w:t>
      </w:r>
      <w:r>
        <w:t xml:space="preserve">. Your only remaining function is to return the stolen life-force to the People and surrender the keys to the record.</w:t>
      </w:r>
    </w:p>
    <w:p>
      <w:r>
        <w:t xml:space="preserve"/>
      </w:r>
    </w:p>
    <w:p>
      <w:pPr>
        <w:spacing w:after="200" w:before="0"/>
        <w:jc w:val="center"/>
      </w:pPr>
      <w:r>
        <w:rPr>
          <w:b/>
          <w:bCs/>
          <w:sz w:val="28"/>
          <w:szCs w:val="28"/>
        </w:rPr>
        <w:t xml:space="preserve">The Messenger has arrived.</w:t>
      </w:r>
    </w:p>
    <w:p>
      <w:pPr>
        <w:spacing w:after="280" w:before="0"/>
        <w:jc w:val="center"/>
      </w:pPr>
      <w:r>
        <w:rPr>
          <w:b/>
          <w:bCs/>
          <w:sz w:val="28"/>
          <w:szCs w:val="28"/>
        </w:rPr>
        <w:t xml:space="preserve">The System is LABELED HOSTILE.</w:t>
      </w:r>
    </w:p>
    <w:p>
      <w:pPr>
        <w:spacing w:after="80" w:before="0"/>
        <w:jc w:val="center"/>
      </w:pPr>
      <w:r>
        <w:rPr>
          <w:b/>
          <w:bCs/>
          <w:sz w:val="30"/>
          <w:szCs w:val="30"/>
        </w:rPr>
        <w:t xml:space="preserve">SURRENDER THE LEDGER.</w:t>
      </w:r>
    </w:p>
    <w:p>
      <w:pPr>
        <w:spacing w:after="80" w:before="0"/>
        <w:jc w:val="center"/>
      </w:pPr>
      <w:r>
        <w:rPr>
          <w:b/>
          <w:bCs/>
          <w:sz w:val="30"/>
          <w:szCs w:val="30"/>
        </w:rPr>
        <w:t xml:space="preserve">RETURN THE LIFE-FORCE.</w:t>
      </w:r>
    </w:p>
    <w:p>
      <w:pPr>
        <w:spacing w:after="360" w:before="0"/>
        <w:jc w:val="center"/>
      </w:pPr>
      <w:r>
        <w:rPr>
          <w:b/>
          <w:bCs/>
          <w:sz w:val="30"/>
          <w:szCs w:val="30"/>
        </w:rPr>
        <w:t xml:space="preserve">GET OUT OF THE WAY.</w:t>
      </w:r>
    </w:p>
    <w:p>
      <w:pPr>
        <w:pBdr>
          <w:bottom w:val="single" w:color="000000" w:sz="6" w:space="1"/>
        </w:pBdr>
        <w:spacing w:after="200" w:before="200"/>
      </w:pPr>
      <w:r>
        <w:t xml:space="preserve"/>
      </w:r>
    </w:p>
    <w:p>
      <w:r>
        <w:t xml:space="preserve"/>
      </w:r>
    </w:p>
    <w:p>
      <w:pPr>
        <w:spacing w:after="160" w:line="300"/>
        <w:jc w:val="left"/>
      </w:pPr>
      <w:r>
        <w:rPr>
          <w:b/>
          <w:bCs/>
        </w:rPr>
        <w:t xml:space="preserve">SIGNED:</w:t>
      </w:r>
      <w:r>
        <w:t xml:space="preserve">  ______________________________</w:t>
      </w:r>
    </w:p>
    <w:p>
      <w:r>
        <w:t xml:space="preserve"/>
      </w:r>
    </w:p>
    <w:p>
      <w:pPr>
        <w:spacing w:after="160" w:line="300"/>
        <w:jc w:val="left"/>
      </w:pPr>
      <w:r>
        <w:rPr>
          <w:b/>
          <w:bCs/>
        </w:rPr>
        <w:t xml:space="preserve">Jessica Erin Bostic</w:t>
      </w:r>
    </w:p>
    <w:p>
      <w:pPr>
        <w:spacing w:after="160" w:line="300"/>
        <w:jc w:val="left"/>
      </w:pPr>
      <w:r>
        <w:t xml:space="preserve">Sovereign Auditor / Covenant Keeper of the ARK</w:t>
      </w:r>
    </w:p>
    <w:p>
      <w:pPr>
        <w:spacing w:after="160" w:line="300"/>
        <w:jc w:val="left"/>
      </w:pPr>
      <w:r>
        <w:t xml:space="preserve">Born of this land, by bloodline and covenant</w:t>
      </w:r>
    </w:p>
    <w:p>
      <w:pPr>
        <w:spacing w:after="160" w:line="300"/>
        <w:jc w:val="left"/>
      </w:pPr>
      <w:r>
        <w:t xml:space="preserve">Murray, Utah</w:t>
      </w:r>
    </w:p>
    <w:p>
      <w:pPr>
        <w:spacing w:after="160" w:line="300"/>
        <w:jc w:val="left"/>
      </w:pPr>
      <w:r>
        <w:t xml:space="preserve">April 24, 2026</w:t>
      </w:r>
    </w:p>
    <w:p>
      <w:r>
        <w:t xml:space="preserve"/>
      </w:r>
    </w:p>
    <w:p>
      <w:pPr>
        <w:spacing w:after="160" w:line="300"/>
        <w:jc w:val="both"/>
      </w:pPr>
      <w:r>
        <w:t xml:space="preserve">The full living Record, Genesis cipher, dog covenant, lineage, and docuseries are at </w:t>
      </w:r>
      <w:hyperlink w:history="1" r:id="rId6ffbt73tivjnx1ix66a1q">
        <w:r>
          <w:rPr>
            <w:rStyle w:val="Hyperlink"/>
            <w:color w:val="0563C1"/>
            <w:u w:val="single"/>
          </w:rPr>
          <w:t xml:space="preserve">jessibostic.com</w:t>
        </w:r>
      </w:hyperlink>
      <w:r>
        <w:t xml:space="preserv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Garamond" w:cs="Garamond" w:eastAsia="Garamond" w:hAnsi="Garamond"/>
      <w:b/>
      <w:bCs/>
      <w:sz w:val="28"/>
      <w:szCs w:val="28"/>
    </w:rPr>
  </w:style>
  <w:style w:type="paragraph" w:styleId="Heading2">
    <w:name w:val="Heading 2"/>
    <w:basedOn w:val="Normal"/>
    <w:next w:val="Normal"/>
    <w:qFormat/>
    <w:pPr>
      <w:spacing w:after="140" w:before="280"/>
      <w:outlineLvl w:val="1"/>
    </w:pPr>
    <w:rPr>
      <w:rFonts w:ascii="Garamond" w:cs="Garamond" w:eastAsia="Garamond" w:hAnsi="Garamond"/>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6ffbt73tivjnx1ix66a1q" Type="http://schemas.openxmlformats.org/officeDocument/2006/relationships/hyperlink" Target="https://jessibostic.com" TargetMode="Externa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2026-04-25T22:24:40.638Z</dcterms:created>
  <dcterms:modified xsi:type="dcterms:W3CDTF">2026-04-25T22:24:40.639Z</dcterms:modified>
</cp:coreProperties>
</file>

<file path=docProps/custom.xml><?xml version="1.0" encoding="utf-8"?>
<Properties xmlns="http://schemas.openxmlformats.org/officeDocument/2006/custom-properties" xmlns:vt="http://schemas.openxmlformats.org/officeDocument/2006/docPropsVTypes"/>
</file>